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96" w:rsidRPr="00205996" w:rsidRDefault="00205996" w:rsidP="00205996">
      <w:pPr>
        <w:jc w:val="center"/>
        <w:rPr>
          <w:b/>
          <w:bCs/>
          <w:lang w:val="fr-CA"/>
        </w:rPr>
      </w:pPr>
      <w:r w:rsidRPr="00205996">
        <w:rPr>
          <w:b/>
          <w:bCs/>
          <w:lang w:val="fr-CA"/>
        </w:rPr>
        <w:t>1 Jean 1</w:t>
      </w:r>
      <w:r>
        <w:rPr>
          <w:b/>
          <w:bCs/>
          <w:lang w:val="fr-CA"/>
        </w:rPr>
        <w:t xml:space="preserve"> </w:t>
      </w:r>
      <w:r w:rsidRPr="00205996">
        <w:rPr>
          <w:b/>
          <w:bCs/>
          <w:lang w:val="fr-CA"/>
        </w:rPr>
        <w:t>: 5</w:t>
      </w:r>
      <w:r>
        <w:rPr>
          <w:b/>
          <w:bCs/>
          <w:lang w:val="fr-CA"/>
        </w:rPr>
        <w:t xml:space="preserve"> </w:t>
      </w:r>
      <w:r w:rsidRPr="00205996">
        <w:rPr>
          <w:b/>
          <w:bCs/>
          <w:lang w:val="fr-CA"/>
        </w:rPr>
        <w:t>–</w:t>
      </w:r>
      <w:r>
        <w:rPr>
          <w:b/>
          <w:bCs/>
          <w:lang w:val="fr-CA"/>
        </w:rPr>
        <w:t xml:space="preserve"> </w:t>
      </w:r>
      <w:r w:rsidRPr="00205996">
        <w:rPr>
          <w:b/>
          <w:bCs/>
          <w:lang w:val="fr-CA"/>
        </w:rPr>
        <w:t>2</w:t>
      </w:r>
      <w:r>
        <w:rPr>
          <w:b/>
          <w:bCs/>
          <w:lang w:val="fr-CA"/>
        </w:rPr>
        <w:t xml:space="preserve"> </w:t>
      </w:r>
      <w:r w:rsidRPr="00205996">
        <w:rPr>
          <w:b/>
          <w:bCs/>
          <w:lang w:val="fr-CA"/>
        </w:rPr>
        <w:t>: 2</w:t>
      </w:r>
    </w:p>
    <w:p w:rsidR="00205996" w:rsidRPr="00205996" w:rsidRDefault="00205996" w:rsidP="00205996">
      <w:pPr>
        <w:jc w:val="center"/>
        <w:rPr>
          <w:b/>
          <w:bCs/>
          <w:lang w:val="fr-CA"/>
        </w:rPr>
      </w:pPr>
      <w:r w:rsidRPr="00205996">
        <w:rPr>
          <w:b/>
          <w:bCs/>
          <w:lang w:val="fr-CA"/>
        </w:rPr>
        <w:t>Variantes textuelles</w:t>
      </w:r>
    </w:p>
    <w:p w:rsidR="00205996" w:rsidRPr="00205996" w:rsidRDefault="00205996" w:rsidP="00205996">
      <w:pPr>
        <w:rPr>
          <w:lang w:val="fr-CA"/>
        </w:rPr>
      </w:pPr>
    </w:p>
    <w:p w:rsidR="00205996" w:rsidRPr="00205996" w:rsidRDefault="00205996" w:rsidP="00D14708">
      <w:pPr>
        <w:ind w:firstLine="720"/>
        <w:rPr>
          <w:lang w:val="fr-CA"/>
        </w:rPr>
      </w:pPr>
      <w:r w:rsidRPr="00205996">
        <w:rPr>
          <w:lang w:val="fr-CA"/>
        </w:rPr>
        <w:t xml:space="preserve">Laissant de côté quelques différences dans l’ordre des mots, </w:t>
      </w:r>
      <w:r>
        <w:rPr>
          <w:lang w:val="fr-CA"/>
        </w:rPr>
        <w:t>ce qui importe</w:t>
      </w:r>
      <w:r w:rsidRPr="00205996">
        <w:rPr>
          <w:lang w:val="fr-CA"/>
        </w:rPr>
        <w:t xml:space="preserve"> peu en grec, notons les variantes textuelles suivantes.</w:t>
      </w:r>
    </w:p>
    <w:p w:rsidR="00205996" w:rsidRPr="00205996" w:rsidRDefault="00205996" w:rsidP="00205996">
      <w:pPr>
        <w:rPr>
          <w:b/>
          <w:bCs/>
          <w:lang w:val="fr-CA"/>
        </w:rPr>
      </w:pPr>
      <w:r>
        <w:rPr>
          <w:b/>
          <w:bCs/>
          <w:lang w:val="fr-CA"/>
        </w:rPr>
        <w:t>1.</w:t>
      </w:r>
      <w:r w:rsidRPr="00205996">
        <w:rPr>
          <w:b/>
          <w:bCs/>
          <w:lang w:val="fr-CA"/>
        </w:rPr>
        <w:t>5</w:t>
      </w:r>
    </w:p>
    <w:p w:rsidR="00205996" w:rsidRPr="00205996" w:rsidRDefault="00205996" w:rsidP="00D14708">
      <w:pPr>
        <w:rPr>
          <w:lang w:val="fr-CA"/>
        </w:rPr>
      </w:pPr>
      <w:r w:rsidRPr="00205996">
        <w:rPr>
          <w:lang w:val="fr-CA"/>
        </w:rPr>
        <w:t>À partir du 4ème siècle, certains manuscrits épellent le mot «</w:t>
      </w:r>
      <w:r w:rsidR="00D14708">
        <w:rPr>
          <w:lang w:val="fr-CA"/>
        </w:rPr>
        <w:t> </w:t>
      </w:r>
      <w:r w:rsidRPr="00205996">
        <w:rPr>
          <w:lang w:val="fr-CA"/>
        </w:rPr>
        <w:t>message</w:t>
      </w:r>
      <w:r w:rsidR="00D14708">
        <w:rPr>
          <w:lang w:val="fr-CA"/>
        </w:rPr>
        <w:t> </w:t>
      </w:r>
      <w:r w:rsidRPr="00205996">
        <w:rPr>
          <w:lang w:val="fr-CA"/>
        </w:rPr>
        <w:t>» (</w:t>
      </w:r>
      <w:r>
        <w:t>α</w:t>
      </w:r>
      <w:proofErr w:type="spellStart"/>
      <w:r>
        <w:t>γγελι</w:t>
      </w:r>
      <w:proofErr w:type="spellEnd"/>
      <w:r>
        <w:t>α</w:t>
      </w:r>
      <w:r w:rsidRPr="00205996">
        <w:rPr>
          <w:lang w:val="fr-CA"/>
        </w:rPr>
        <w:t>) avec un préfixe (</w:t>
      </w:r>
      <w:r>
        <w:t>επα</w:t>
      </w:r>
      <w:proofErr w:type="spellStart"/>
      <w:r>
        <w:t>γγελι</w:t>
      </w:r>
      <w:proofErr w:type="spellEnd"/>
      <w:r>
        <w:t>α</w:t>
      </w:r>
      <w:r w:rsidRPr="00205996">
        <w:rPr>
          <w:lang w:val="fr-CA"/>
        </w:rPr>
        <w:t>); et deux man</w:t>
      </w:r>
      <w:r w:rsidR="00D14708">
        <w:rPr>
          <w:lang w:val="fr-CA"/>
        </w:rPr>
        <w:t>uscrits se lisent, « </w:t>
      </w:r>
      <w:r w:rsidRPr="00205996">
        <w:rPr>
          <w:lang w:val="fr-CA"/>
        </w:rPr>
        <w:t>amour (</w:t>
      </w:r>
      <w:r>
        <w:t>αγαπη</w:t>
      </w:r>
      <w:r w:rsidRPr="00205996">
        <w:rPr>
          <w:lang w:val="fr-CA"/>
        </w:rPr>
        <w:t>) du message</w:t>
      </w:r>
      <w:r w:rsidR="00D14708">
        <w:rPr>
          <w:lang w:val="fr-CA"/>
        </w:rPr>
        <w:t> »</w:t>
      </w:r>
      <w:r w:rsidRPr="00205996">
        <w:rPr>
          <w:lang w:val="fr-CA"/>
        </w:rPr>
        <w:t>, une erreur de copiste apparente.</w:t>
      </w:r>
    </w:p>
    <w:p w:rsidR="00205996" w:rsidRPr="00205996" w:rsidRDefault="00205996" w:rsidP="00205996">
      <w:pPr>
        <w:rPr>
          <w:b/>
          <w:bCs/>
          <w:lang w:val="fr-CA"/>
        </w:rPr>
      </w:pPr>
      <w:r>
        <w:rPr>
          <w:b/>
          <w:bCs/>
          <w:lang w:val="fr-CA"/>
        </w:rPr>
        <w:t>1.</w:t>
      </w:r>
      <w:r w:rsidRPr="00205996">
        <w:rPr>
          <w:b/>
          <w:bCs/>
          <w:lang w:val="fr-CA"/>
        </w:rPr>
        <w:t>7</w:t>
      </w:r>
    </w:p>
    <w:p w:rsidR="00205996" w:rsidRPr="00205996" w:rsidRDefault="00205996" w:rsidP="00205996">
      <w:pPr>
        <w:rPr>
          <w:lang w:val="fr-CA"/>
        </w:rPr>
      </w:pPr>
      <w:r w:rsidRPr="00205996">
        <w:rPr>
          <w:lang w:val="fr-CA"/>
        </w:rPr>
        <w:t>Les premiers manuscrits survivants fournissent une conjonction (</w:t>
      </w:r>
      <w:proofErr w:type="spellStart"/>
      <w:r>
        <w:t>δε</w:t>
      </w:r>
      <w:proofErr w:type="spellEnd"/>
      <w:r w:rsidRPr="00205996">
        <w:rPr>
          <w:lang w:val="fr-CA"/>
        </w:rPr>
        <w:t>) au verset 7: «</w:t>
      </w:r>
      <w:r w:rsidR="000921FE">
        <w:rPr>
          <w:lang w:val="fr-CA"/>
        </w:rPr>
        <w:t> </w:t>
      </w:r>
      <w:r w:rsidRPr="000921FE">
        <w:rPr>
          <w:i/>
          <w:iCs/>
          <w:lang w:val="fr-CA"/>
        </w:rPr>
        <w:t>Mais</w:t>
      </w:r>
      <w:r w:rsidRPr="00205996">
        <w:rPr>
          <w:lang w:val="fr-CA"/>
        </w:rPr>
        <w:t xml:space="preserve"> si nous marchons dans la lumière</w:t>
      </w:r>
      <w:r w:rsidR="000921FE">
        <w:rPr>
          <w:lang w:val="fr-CA"/>
        </w:rPr>
        <w:t> </w:t>
      </w:r>
      <w:r w:rsidRPr="00205996">
        <w:rPr>
          <w:lang w:val="fr-CA"/>
        </w:rPr>
        <w:t>». Les autres manuscrits n'ont pas de conjonction</w:t>
      </w:r>
      <w:r>
        <w:rPr>
          <w:lang w:val="fr-CA"/>
        </w:rPr>
        <w:t>,</w:t>
      </w:r>
      <w:r w:rsidRPr="00205996">
        <w:rPr>
          <w:lang w:val="fr-CA"/>
        </w:rPr>
        <w:t xml:space="preserve"> et il reste difficile de savoir si la conjonction est originale.</w:t>
      </w:r>
    </w:p>
    <w:p w:rsidR="00205996" w:rsidRPr="00205996" w:rsidRDefault="00205996" w:rsidP="00205996">
      <w:pPr>
        <w:rPr>
          <w:lang w:val="fr-CA"/>
        </w:rPr>
      </w:pPr>
      <w:r w:rsidRPr="00205996">
        <w:rPr>
          <w:lang w:val="fr-CA"/>
        </w:rPr>
        <w:t>Certains manuscrits anciens insèrent «</w:t>
      </w:r>
      <w:r>
        <w:rPr>
          <w:lang w:val="fr-CA"/>
        </w:rPr>
        <w:t> </w:t>
      </w:r>
      <w:r w:rsidRPr="00205996">
        <w:rPr>
          <w:lang w:val="fr-CA"/>
        </w:rPr>
        <w:t>Christ (</w:t>
      </w:r>
      <w:proofErr w:type="spellStart"/>
      <w:r>
        <w:t>Χριστου</w:t>
      </w:r>
      <w:proofErr w:type="spellEnd"/>
      <w:r w:rsidRPr="00205996">
        <w:rPr>
          <w:lang w:val="fr-CA"/>
        </w:rPr>
        <w:t>)</w:t>
      </w:r>
      <w:r>
        <w:rPr>
          <w:lang w:val="fr-CA"/>
        </w:rPr>
        <w:t> »</w:t>
      </w:r>
      <w:r w:rsidRPr="00205996">
        <w:rPr>
          <w:lang w:val="fr-CA"/>
        </w:rPr>
        <w:t xml:space="preserve"> après</w:t>
      </w:r>
      <w:r>
        <w:rPr>
          <w:lang w:val="fr-CA"/>
        </w:rPr>
        <w:t xml:space="preserve"> </w:t>
      </w:r>
      <w:r w:rsidRPr="00205996">
        <w:rPr>
          <w:lang w:val="fr-CA"/>
        </w:rPr>
        <w:t>« Jésus (I</w:t>
      </w:r>
      <w:proofErr w:type="spellStart"/>
      <w:r>
        <w:t>ησου</w:t>
      </w:r>
      <w:proofErr w:type="spellEnd"/>
      <w:r w:rsidRPr="00205996">
        <w:rPr>
          <w:lang w:val="fr-CA"/>
        </w:rPr>
        <w:t>) ».</w:t>
      </w:r>
    </w:p>
    <w:p w:rsidR="00205996" w:rsidRPr="00205996" w:rsidRDefault="00205996" w:rsidP="000921FE">
      <w:pPr>
        <w:rPr>
          <w:lang w:val="fr-CA"/>
        </w:rPr>
      </w:pPr>
      <w:r w:rsidRPr="00205996">
        <w:rPr>
          <w:lang w:val="fr-CA"/>
        </w:rPr>
        <w:t xml:space="preserve">À partir du </w:t>
      </w:r>
      <w:r>
        <w:rPr>
          <w:lang w:val="fr-CA"/>
        </w:rPr>
        <w:t>8ième</w:t>
      </w:r>
      <w:r w:rsidRPr="00205996">
        <w:rPr>
          <w:lang w:val="fr-CA"/>
        </w:rPr>
        <w:t xml:space="preserve"> siècle, certains manuscrits remplacent le</w:t>
      </w:r>
      <w:r w:rsidR="000921FE">
        <w:rPr>
          <w:lang w:val="fr-CA"/>
        </w:rPr>
        <w:t xml:space="preserve"> mot</w:t>
      </w:r>
      <w:r w:rsidRPr="00205996">
        <w:rPr>
          <w:lang w:val="fr-CA"/>
        </w:rPr>
        <w:t xml:space="preserve"> «</w:t>
      </w:r>
      <w:r>
        <w:rPr>
          <w:lang w:val="fr-CA"/>
        </w:rPr>
        <w:t xml:space="preserve"> purifie </w:t>
      </w:r>
      <w:r w:rsidRPr="00205996">
        <w:rPr>
          <w:lang w:val="fr-CA"/>
        </w:rPr>
        <w:t>» (</w:t>
      </w:r>
      <w:r>
        <w:t>καθα</w:t>
      </w:r>
      <w:proofErr w:type="spellStart"/>
      <w:r>
        <w:t>ριζει</w:t>
      </w:r>
      <w:proofErr w:type="spellEnd"/>
      <w:r w:rsidRPr="00205996">
        <w:rPr>
          <w:lang w:val="fr-CA"/>
        </w:rPr>
        <w:t>) par «</w:t>
      </w:r>
      <w:r>
        <w:rPr>
          <w:lang w:val="fr-CA"/>
        </w:rPr>
        <w:t> purifiera</w:t>
      </w:r>
      <w:r w:rsidRPr="00205996">
        <w:rPr>
          <w:lang w:val="fr-CA"/>
        </w:rPr>
        <w:t xml:space="preserve"> (</w:t>
      </w:r>
      <w:r>
        <w:t>καθα</w:t>
      </w:r>
      <w:proofErr w:type="spellStart"/>
      <w:r>
        <w:t>ρισει</w:t>
      </w:r>
      <w:proofErr w:type="spellEnd"/>
      <w:r w:rsidRPr="00205996">
        <w:rPr>
          <w:lang w:val="fr-CA"/>
        </w:rPr>
        <w:t>)</w:t>
      </w:r>
      <w:r>
        <w:rPr>
          <w:lang w:val="fr-CA"/>
        </w:rPr>
        <w:t> </w:t>
      </w:r>
      <w:r w:rsidRPr="00205996">
        <w:rPr>
          <w:lang w:val="fr-CA"/>
        </w:rPr>
        <w:t>».</w:t>
      </w:r>
    </w:p>
    <w:p w:rsidR="00205996" w:rsidRPr="00205996" w:rsidRDefault="00205996" w:rsidP="00205996">
      <w:pPr>
        <w:rPr>
          <w:b/>
          <w:bCs/>
          <w:lang w:val="fr-CA"/>
        </w:rPr>
      </w:pPr>
      <w:r w:rsidRPr="00205996">
        <w:rPr>
          <w:b/>
          <w:bCs/>
          <w:lang w:val="fr-CA"/>
        </w:rPr>
        <w:t>1.8</w:t>
      </w:r>
    </w:p>
    <w:p w:rsidR="00205996" w:rsidRPr="00205996" w:rsidRDefault="00205996" w:rsidP="00205996">
      <w:pPr>
        <w:rPr>
          <w:lang w:val="fr-CA"/>
        </w:rPr>
      </w:pPr>
      <w:r w:rsidRPr="00205996">
        <w:rPr>
          <w:lang w:val="fr-CA"/>
        </w:rPr>
        <w:t xml:space="preserve">À partir du 12ème siècle, </w:t>
      </w:r>
      <w:r>
        <w:rPr>
          <w:lang w:val="fr-CA"/>
        </w:rPr>
        <w:t xml:space="preserve">deux </w:t>
      </w:r>
      <w:r w:rsidRPr="00205996">
        <w:rPr>
          <w:lang w:val="fr-CA"/>
        </w:rPr>
        <w:t>manuscrits insère</w:t>
      </w:r>
      <w:r w:rsidR="000921FE">
        <w:rPr>
          <w:lang w:val="fr-CA"/>
        </w:rPr>
        <w:t>nt</w:t>
      </w:r>
      <w:r w:rsidRPr="00205996">
        <w:rPr>
          <w:lang w:val="fr-CA"/>
        </w:rPr>
        <w:t xml:space="preserve"> «</w:t>
      </w:r>
      <w:r>
        <w:rPr>
          <w:lang w:val="fr-CA"/>
        </w:rPr>
        <w:t> </w:t>
      </w:r>
      <w:r w:rsidRPr="00205996">
        <w:rPr>
          <w:lang w:val="fr-CA"/>
        </w:rPr>
        <w:t>de Dieu</w:t>
      </w:r>
      <w:r>
        <w:rPr>
          <w:lang w:val="fr-CA"/>
        </w:rPr>
        <w:t> </w:t>
      </w:r>
      <w:r w:rsidRPr="00205996">
        <w:rPr>
          <w:lang w:val="fr-CA"/>
        </w:rPr>
        <w:t>» après «</w:t>
      </w:r>
      <w:r>
        <w:rPr>
          <w:lang w:val="fr-CA"/>
        </w:rPr>
        <w:t> </w:t>
      </w:r>
      <w:r w:rsidR="000921FE">
        <w:rPr>
          <w:lang w:val="fr-CA"/>
        </w:rPr>
        <w:t xml:space="preserve">la </w:t>
      </w:r>
      <w:r w:rsidRPr="00205996">
        <w:rPr>
          <w:lang w:val="fr-CA"/>
        </w:rPr>
        <w:t>vérité</w:t>
      </w:r>
      <w:r>
        <w:rPr>
          <w:lang w:val="fr-CA"/>
        </w:rPr>
        <w:t> </w:t>
      </w:r>
      <w:r w:rsidRPr="00205996">
        <w:rPr>
          <w:lang w:val="fr-CA"/>
        </w:rPr>
        <w:t>».</w:t>
      </w:r>
    </w:p>
    <w:p w:rsidR="00205996" w:rsidRPr="00205996" w:rsidRDefault="00205996" w:rsidP="00205996">
      <w:pPr>
        <w:rPr>
          <w:b/>
          <w:bCs/>
          <w:lang w:val="fr-CA"/>
        </w:rPr>
      </w:pPr>
      <w:r>
        <w:rPr>
          <w:b/>
          <w:bCs/>
          <w:lang w:val="fr-CA"/>
        </w:rPr>
        <w:t>1.</w:t>
      </w:r>
      <w:r w:rsidRPr="00205996">
        <w:rPr>
          <w:b/>
          <w:bCs/>
          <w:lang w:val="fr-CA"/>
        </w:rPr>
        <w:t>9</w:t>
      </w:r>
    </w:p>
    <w:p w:rsidR="00205996" w:rsidRPr="00205996" w:rsidRDefault="00205996" w:rsidP="00205996">
      <w:pPr>
        <w:rPr>
          <w:lang w:val="fr-CA"/>
        </w:rPr>
      </w:pPr>
      <w:r w:rsidRPr="00205996">
        <w:rPr>
          <w:lang w:val="fr-CA"/>
        </w:rPr>
        <w:t xml:space="preserve">À partir du 4ème siècle, certains manuscrits </w:t>
      </w:r>
      <w:r>
        <w:rPr>
          <w:lang w:val="fr-CA"/>
        </w:rPr>
        <w:t xml:space="preserve">se </w:t>
      </w:r>
      <w:r w:rsidRPr="00205996">
        <w:rPr>
          <w:lang w:val="fr-CA"/>
        </w:rPr>
        <w:t>lisent</w:t>
      </w:r>
      <w:r>
        <w:rPr>
          <w:lang w:val="fr-CA"/>
        </w:rPr>
        <w:t> :</w:t>
      </w:r>
      <w:r w:rsidRPr="00205996">
        <w:rPr>
          <w:lang w:val="fr-CA"/>
        </w:rPr>
        <w:t xml:space="preserve"> «</w:t>
      </w:r>
      <w:r>
        <w:rPr>
          <w:lang w:val="fr-CA"/>
        </w:rPr>
        <w:t> </w:t>
      </w:r>
      <w:r w:rsidRPr="00205996">
        <w:rPr>
          <w:lang w:val="fr-CA"/>
        </w:rPr>
        <w:t>nos péchés</w:t>
      </w:r>
      <w:r>
        <w:rPr>
          <w:lang w:val="fr-CA"/>
        </w:rPr>
        <w:t> </w:t>
      </w:r>
      <w:r w:rsidRPr="00205996">
        <w:rPr>
          <w:lang w:val="fr-CA"/>
        </w:rPr>
        <w:t>» au lieu de «</w:t>
      </w:r>
      <w:r>
        <w:rPr>
          <w:lang w:val="fr-CA"/>
        </w:rPr>
        <w:t> </w:t>
      </w:r>
      <w:r w:rsidRPr="00205996">
        <w:rPr>
          <w:lang w:val="fr-CA"/>
        </w:rPr>
        <w:t>péchés</w:t>
      </w:r>
      <w:r>
        <w:rPr>
          <w:lang w:val="fr-CA"/>
        </w:rPr>
        <w:t> </w:t>
      </w:r>
      <w:r w:rsidRPr="00205996">
        <w:rPr>
          <w:lang w:val="fr-CA"/>
        </w:rPr>
        <w:t>».</w:t>
      </w:r>
    </w:p>
    <w:p w:rsidR="00205996" w:rsidRPr="00205996" w:rsidRDefault="00205996" w:rsidP="00205996">
      <w:pPr>
        <w:rPr>
          <w:lang w:val="fr-CA"/>
        </w:rPr>
      </w:pPr>
      <w:r w:rsidRPr="00205996">
        <w:rPr>
          <w:lang w:val="fr-CA"/>
        </w:rPr>
        <w:t xml:space="preserve">À partir du </w:t>
      </w:r>
      <w:r>
        <w:rPr>
          <w:lang w:val="fr-CA"/>
        </w:rPr>
        <w:t>5ière</w:t>
      </w:r>
      <w:r w:rsidRPr="00205996">
        <w:rPr>
          <w:lang w:val="fr-CA"/>
        </w:rPr>
        <w:t xml:space="preserve"> siècle, certains manuscrits </w:t>
      </w:r>
      <w:r w:rsidRPr="00205996">
        <w:rPr>
          <w:lang w:val="fr-CA"/>
        </w:rPr>
        <w:t>épèlent</w:t>
      </w:r>
      <w:r w:rsidRPr="00205996">
        <w:rPr>
          <w:lang w:val="fr-CA"/>
        </w:rPr>
        <w:t xml:space="preserve"> «</w:t>
      </w:r>
      <w:r>
        <w:rPr>
          <w:lang w:val="fr-CA"/>
        </w:rPr>
        <w:t> purifie </w:t>
      </w:r>
      <w:r w:rsidRPr="00205996">
        <w:rPr>
          <w:lang w:val="fr-CA"/>
        </w:rPr>
        <w:t>» (</w:t>
      </w:r>
      <w:r>
        <w:t>καθα</w:t>
      </w:r>
      <w:proofErr w:type="spellStart"/>
      <w:r>
        <w:t>ριση</w:t>
      </w:r>
      <w:proofErr w:type="spellEnd"/>
      <w:r w:rsidRPr="00205996">
        <w:rPr>
          <w:lang w:val="fr-CA"/>
        </w:rPr>
        <w:t>) un peu différemment (</w:t>
      </w:r>
      <w:r>
        <w:t>καθα</w:t>
      </w:r>
      <w:proofErr w:type="spellStart"/>
      <w:r>
        <w:t>ρισει</w:t>
      </w:r>
      <w:proofErr w:type="spellEnd"/>
      <w:r w:rsidRPr="00205996">
        <w:rPr>
          <w:lang w:val="fr-CA"/>
        </w:rPr>
        <w:t>).</w:t>
      </w:r>
    </w:p>
    <w:p w:rsidR="00205996" w:rsidRPr="00205996" w:rsidRDefault="00205996" w:rsidP="00205996">
      <w:pPr>
        <w:rPr>
          <w:b/>
          <w:bCs/>
          <w:lang w:val="fr-CA"/>
        </w:rPr>
      </w:pPr>
      <w:r w:rsidRPr="00205996">
        <w:rPr>
          <w:b/>
          <w:bCs/>
          <w:lang w:val="fr-CA"/>
        </w:rPr>
        <w:t>1.10</w:t>
      </w:r>
    </w:p>
    <w:p w:rsidR="00205996" w:rsidRPr="00205996" w:rsidRDefault="00205996" w:rsidP="00205996">
      <w:pPr>
        <w:rPr>
          <w:lang w:val="fr-CA"/>
        </w:rPr>
      </w:pPr>
      <w:r w:rsidRPr="00205996">
        <w:rPr>
          <w:lang w:val="fr-CA"/>
        </w:rPr>
        <w:t xml:space="preserve">À partir du </w:t>
      </w:r>
      <w:r>
        <w:rPr>
          <w:lang w:val="fr-CA"/>
        </w:rPr>
        <w:t>10ième</w:t>
      </w:r>
      <w:r w:rsidRPr="00205996">
        <w:rPr>
          <w:lang w:val="fr-CA"/>
        </w:rPr>
        <w:t xml:space="preserve"> </w:t>
      </w:r>
      <w:r>
        <w:rPr>
          <w:lang w:val="fr-CA"/>
        </w:rPr>
        <w:t>siècle, deux manuscrits se lis</w:t>
      </w:r>
      <w:r w:rsidRPr="00205996">
        <w:rPr>
          <w:lang w:val="fr-CA"/>
        </w:rPr>
        <w:t>ent: «</w:t>
      </w:r>
      <w:r>
        <w:rPr>
          <w:lang w:val="fr-CA"/>
        </w:rPr>
        <w:t> </w:t>
      </w:r>
      <w:r w:rsidRPr="00205996">
        <w:rPr>
          <w:lang w:val="fr-CA"/>
        </w:rPr>
        <w:t xml:space="preserve">Nous </w:t>
      </w:r>
      <w:r>
        <w:rPr>
          <w:lang w:val="fr-CA"/>
        </w:rPr>
        <w:t xml:space="preserve">ne péchâmes </w:t>
      </w:r>
      <w:r w:rsidRPr="00205996">
        <w:rPr>
          <w:lang w:val="fr-CA"/>
        </w:rPr>
        <w:t>pas</w:t>
      </w:r>
      <w:r>
        <w:rPr>
          <w:lang w:val="fr-CA"/>
        </w:rPr>
        <w:t> </w:t>
      </w:r>
      <w:r w:rsidRPr="00205996">
        <w:rPr>
          <w:lang w:val="fr-CA"/>
        </w:rPr>
        <w:t>» (</w:t>
      </w:r>
      <w:proofErr w:type="spellStart"/>
      <w:r>
        <w:t>ημ</w:t>
      </w:r>
      <w:proofErr w:type="spellEnd"/>
      <w:r>
        <w:t>αρτομεν</w:t>
      </w:r>
      <w:r w:rsidRPr="00205996">
        <w:rPr>
          <w:lang w:val="fr-CA"/>
        </w:rPr>
        <w:t>) au lieu de «</w:t>
      </w:r>
      <w:r>
        <w:rPr>
          <w:lang w:val="fr-CA"/>
        </w:rPr>
        <w:t> </w:t>
      </w:r>
      <w:r w:rsidRPr="00205996">
        <w:rPr>
          <w:lang w:val="fr-CA"/>
        </w:rPr>
        <w:t>Nous n'avons pas péché</w:t>
      </w:r>
      <w:r>
        <w:rPr>
          <w:lang w:val="fr-CA"/>
        </w:rPr>
        <w:t> </w:t>
      </w:r>
      <w:r w:rsidRPr="00205996">
        <w:rPr>
          <w:lang w:val="fr-CA"/>
        </w:rPr>
        <w:t>» (</w:t>
      </w:r>
      <w:proofErr w:type="spellStart"/>
      <w:r>
        <w:t>ημ</w:t>
      </w:r>
      <w:proofErr w:type="spellEnd"/>
      <w:r>
        <w:t>αρτηκαμεν</w:t>
      </w:r>
      <w:r w:rsidRPr="00205996">
        <w:rPr>
          <w:lang w:val="fr-CA"/>
        </w:rPr>
        <w:t>).</w:t>
      </w:r>
    </w:p>
    <w:p w:rsidR="00205996" w:rsidRPr="00205996" w:rsidRDefault="00205996" w:rsidP="00205996">
      <w:pPr>
        <w:rPr>
          <w:b/>
          <w:bCs/>
          <w:lang w:val="fr-CA"/>
        </w:rPr>
      </w:pPr>
      <w:r w:rsidRPr="00205996">
        <w:rPr>
          <w:b/>
          <w:bCs/>
          <w:lang w:val="fr-CA"/>
        </w:rPr>
        <w:t>2.1</w:t>
      </w:r>
    </w:p>
    <w:p w:rsidR="00205996" w:rsidRPr="00205996" w:rsidRDefault="00205996" w:rsidP="00205996">
      <w:pPr>
        <w:rPr>
          <w:lang w:val="fr-CA"/>
        </w:rPr>
      </w:pPr>
      <w:r w:rsidRPr="00205996">
        <w:rPr>
          <w:lang w:val="fr-CA"/>
        </w:rPr>
        <w:t>À partir du 10</w:t>
      </w:r>
      <w:r>
        <w:rPr>
          <w:lang w:val="fr-CA"/>
        </w:rPr>
        <w:t>i</w:t>
      </w:r>
      <w:r w:rsidRPr="00205996">
        <w:rPr>
          <w:lang w:val="fr-CA"/>
        </w:rPr>
        <w:t>ème s</w:t>
      </w:r>
      <w:r w:rsidR="000921FE">
        <w:rPr>
          <w:lang w:val="fr-CA"/>
        </w:rPr>
        <w:t>iècle, deux manuscrits se lise</w:t>
      </w:r>
      <w:r w:rsidRPr="00205996">
        <w:rPr>
          <w:lang w:val="fr-CA"/>
        </w:rPr>
        <w:t>nt: «</w:t>
      </w:r>
      <w:r>
        <w:rPr>
          <w:lang w:val="fr-CA"/>
        </w:rPr>
        <w:t> c</w:t>
      </w:r>
      <w:r w:rsidRPr="00205996">
        <w:rPr>
          <w:lang w:val="fr-CA"/>
        </w:rPr>
        <w:t>ess</w:t>
      </w:r>
      <w:r>
        <w:rPr>
          <w:lang w:val="fr-CA"/>
        </w:rPr>
        <w:t>i</w:t>
      </w:r>
      <w:r w:rsidRPr="00205996">
        <w:rPr>
          <w:lang w:val="fr-CA"/>
        </w:rPr>
        <w:t>ez de pécher</w:t>
      </w:r>
      <w:r>
        <w:rPr>
          <w:lang w:val="fr-CA"/>
        </w:rPr>
        <w:t> </w:t>
      </w:r>
      <w:r w:rsidRPr="00205996">
        <w:rPr>
          <w:lang w:val="fr-CA"/>
        </w:rPr>
        <w:t>(</w:t>
      </w:r>
      <w:proofErr w:type="spellStart"/>
      <w:r>
        <w:t>μη</w:t>
      </w:r>
      <w:proofErr w:type="spellEnd"/>
      <w:r w:rsidRPr="00205996">
        <w:rPr>
          <w:lang w:val="fr-CA"/>
        </w:rPr>
        <w:t xml:space="preserve"> </w:t>
      </w:r>
      <w:r>
        <w:t>αμα</w:t>
      </w:r>
      <w:proofErr w:type="spellStart"/>
      <w:r>
        <w:t>ρτ</w:t>
      </w:r>
      <w:proofErr w:type="spellEnd"/>
      <w:r>
        <w:t>ανητε</w:t>
      </w:r>
      <w:r w:rsidRPr="00205996">
        <w:rPr>
          <w:lang w:val="fr-CA"/>
        </w:rPr>
        <w:t>)</w:t>
      </w:r>
      <w:r w:rsidR="000921FE">
        <w:rPr>
          <w:lang w:val="fr-CA"/>
        </w:rPr>
        <w:t> »</w:t>
      </w:r>
      <w:r w:rsidRPr="00205996">
        <w:rPr>
          <w:lang w:val="fr-CA"/>
        </w:rPr>
        <w:t xml:space="preserve"> au lieu de «</w:t>
      </w:r>
      <w:r>
        <w:rPr>
          <w:lang w:val="fr-CA"/>
        </w:rPr>
        <w:t> ne péchiez pas </w:t>
      </w:r>
      <w:r w:rsidRPr="00205996">
        <w:rPr>
          <w:lang w:val="fr-CA"/>
        </w:rPr>
        <w:t>(</w:t>
      </w:r>
      <w:proofErr w:type="spellStart"/>
      <w:r>
        <w:t>μη</w:t>
      </w:r>
      <w:proofErr w:type="spellEnd"/>
      <w:r w:rsidRPr="00205996">
        <w:rPr>
          <w:lang w:val="fr-CA"/>
        </w:rPr>
        <w:t xml:space="preserve"> </w:t>
      </w:r>
      <w:r>
        <w:t>αμα</w:t>
      </w:r>
      <w:proofErr w:type="spellStart"/>
      <w:r>
        <w:t>ρτητε</w:t>
      </w:r>
      <w:proofErr w:type="spellEnd"/>
      <w:r w:rsidRPr="00205996">
        <w:rPr>
          <w:lang w:val="fr-CA"/>
        </w:rPr>
        <w:t>)</w:t>
      </w:r>
      <w:r w:rsidR="000921FE">
        <w:rPr>
          <w:lang w:val="fr-CA"/>
        </w:rPr>
        <w:t> »</w:t>
      </w:r>
      <w:r w:rsidRPr="00205996">
        <w:rPr>
          <w:lang w:val="fr-CA"/>
        </w:rPr>
        <w:t>.</w:t>
      </w:r>
    </w:p>
    <w:p w:rsidR="00205996" w:rsidRPr="00205996" w:rsidRDefault="00205996" w:rsidP="00205996">
      <w:pPr>
        <w:rPr>
          <w:b/>
          <w:bCs/>
          <w:lang w:val="fr-CA"/>
        </w:rPr>
      </w:pPr>
      <w:r w:rsidRPr="00205996">
        <w:rPr>
          <w:b/>
          <w:bCs/>
          <w:lang w:val="fr-CA"/>
        </w:rPr>
        <w:t>2.2</w:t>
      </w:r>
    </w:p>
    <w:p w:rsidR="00BD7599" w:rsidRPr="00205996" w:rsidRDefault="00205996" w:rsidP="00205996">
      <w:pPr>
        <w:rPr>
          <w:lang w:val="fr-CA"/>
        </w:rPr>
      </w:pPr>
      <w:r w:rsidRPr="00205996">
        <w:rPr>
          <w:lang w:val="fr-CA"/>
        </w:rPr>
        <w:t xml:space="preserve">À partir du </w:t>
      </w:r>
      <w:r>
        <w:rPr>
          <w:lang w:val="fr-CA"/>
        </w:rPr>
        <w:t xml:space="preserve">6ième </w:t>
      </w:r>
      <w:r w:rsidRPr="00205996">
        <w:rPr>
          <w:lang w:val="fr-CA"/>
        </w:rPr>
        <w:t>siècle, quelques manuscrits se lisent: «</w:t>
      </w:r>
      <w:r>
        <w:rPr>
          <w:lang w:val="fr-CA"/>
        </w:rPr>
        <w:t xml:space="preserve"> nos seuls </w:t>
      </w:r>
      <w:r w:rsidR="000921FE">
        <w:rPr>
          <w:lang w:val="fr-CA"/>
        </w:rPr>
        <w:t>péchés</w:t>
      </w:r>
      <w:r>
        <w:rPr>
          <w:lang w:val="fr-CA"/>
        </w:rPr>
        <w:t xml:space="preserve"> </w:t>
      </w:r>
      <w:r w:rsidRPr="00205996">
        <w:rPr>
          <w:lang w:val="fr-CA"/>
        </w:rPr>
        <w:t>(</w:t>
      </w:r>
      <w:proofErr w:type="spellStart"/>
      <w:r>
        <w:t>μονων</w:t>
      </w:r>
      <w:proofErr w:type="spellEnd"/>
      <w:r w:rsidRPr="00205996">
        <w:rPr>
          <w:lang w:val="fr-CA"/>
        </w:rPr>
        <w:t>, un adjectif)</w:t>
      </w:r>
      <w:r>
        <w:rPr>
          <w:lang w:val="fr-CA"/>
        </w:rPr>
        <w:t> </w:t>
      </w:r>
      <w:r w:rsidRPr="00205996">
        <w:rPr>
          <w:lang w:val="fr-CA"/>
        </w:rPr>
        <w:t>» au lieu de «</w:t>
      </w:r>
      <w:r>
        <w:rPr>
          <w:lang w:val="fr-CA"/>
        </w:rPr>
        <w:t> no</w:t>
      </w:r>
      <w:r w:rsidR="000921FE">
        <w:rPr>
          <w:lang w:val="fr-CA"/>
        </w:rPr>
        <w:t>s</w:t>
      </w:r>
      <w:r>
        <w:rPr>
          <w:lang w:val="fr-CA"/>
        </w:rPr>
        <w:t xml:space="preserve"> péchés </w:t>
      </w:r>
      <w:r w:rsidRPr="00205996">
        <w:rPr>
          <w:lang w:val="fr-CA"/>
        </w:rPr>
        <w:t>seulement (</w:t>
      </w:r>
      <w:proofErr w:type="spellStart"/>
      <w:r>
        <w:t>μονον</w:t>
      </w:r>
      <w:proofErr w:type="spellEnd"/>
      <w:r w:rsidRPr="00205996">
        <w:rPr>
          <w:lang w:val="fr-CA"/>
        </w:rPr>
        <w:t>, un adverbe)</w:t>
      </w:r>
      <w:r>
        <w:rPr>
          <w:lang w:val="fr-CA"/>
        </w:rPr>
        <w:t> »</w:t>
      </w:r>
      <w:r w:rsidRPr="00205996">
        <w:rPr>
          <w:lang w:val="fr-CA"/>
        </w:rPr>
        <w:t>.</w:t>
      </w:r>
      <w:bookmarkStart w:id="0" w:name="_GoBack"/>
      <w:bookmarkEnd w:id="0"/>
    </w:p>
    <w:sectPr w:rsidR="00BD7599" w:rsidRPr="00205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96"/>
    <w:rsid w:val="00020AAE"/>
    <w:rsid w:val="00033507"/>
    <w:rsid w:val="000504E1"/>
    <w:rsid w:val="000921FE"/>
    <w:rsid w:val="000B08DE"/>
    <w:rsid w:val="000E437D"/>
    <w:rsid w:val="00205996"/>
    <w:rsid w:val="00215EB1"/>
    <w:rsid w:val="0023324B"/>
    <w:rsid w:val="00292A52"/>
    <w:rsid w:val="00294D37"/>
    <w:rsid w:val="002B2C0A"/>
    <w:rsid w:val="00303B3B"/>
    <w:rsid w:val="00305728"/>
    <w:rsid w:val="0032258C"/>
    <w:rsid w:val="00383701"/>
    <w:rsid w:val="003D6B5D"/>
    <w:rsid w:val="00431824"/>
    <w:rsid w:val="004451C0"/>
    <w:rsid w:val="004875D1"/>
    <w:rsid w:val="004C0E87"/>
    <w:rsid w:val="0053318C"/>
    <w:rsid w:val="005B6034"/>
    <w:rsid w:val="00674685"/>
    <w:rsid w:val="00675CEB"/>
    <w:rsid w:val="00687CC4"/>
    <w:rsid w:val="006B67E3"/>
    <w:rsid w:val="006C35B5"/>
    <w:rsid w:val="006C41EF"/>
    <w:rsid w:val="00711E92"/>
    <w:rsid w:val="007B3658"/>
    <w:rsid w:val="00816F2A"/>
    <w:rsid w:val="00841063"/>
    <w:rsid w:val="008647BE"/>
    <w:rsid w:val="008F1C37"/>
    <w:rsid w:val="00941885"/>
    <w:rsid w:val="00967FAD"/>
    <w:rsid w:val="009A4302"/>
    <w:rsid w:val="009F23F3"/>
    <w:rsid w:val="00A15D53"/>
    <w:rsid w:val="00AB2EED"/>
    <w:rsid w:val="00AE06F5"/>
    <w:rsid w:val="00BA01C9"/>
    <w:rsid w:val="00C4448A"/>
    <w:rsid w:val="00C7233A"/>
    <w:rsid w:val="00C96E0C"/>
    <w:rsid w:val="00CA52E1"/>
    <w:rsid w:val="00CF00FC"/>
    <w:rsid w:val="00D14708"/>
    <w:rsid w:val="00E52FA6"/>
    <w:rsid w:val="00EF1E24"/>
    <w:rsid w:val="00F16A88"/>
    <w:rsid w:val="00F24F12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E8C1"/>
  <w15:chartTrackingRefBased/>
  <w15:docId w15:val="{18904923-65D8-45AA-AB5E-DF221F8D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2</cp:revision>
  <dcterms:created xsi:type="dcterms:W3CDTF">2019-08-12T23:26:00Z</dcterms:created>
  <dcterms:modified xsi:type="dcterms:W3CDTF">2019-08-12T23:44:00Z</dcterms:modified>
</cp:coreProperties>
</file>